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rPr>
          <w:rFonts w:ascii="맑은 고딕" w:cs="맑은 고딕" w:eastAsia="맑은 고딕" w:hAnsi="맑은 고딕"/>
          <w:b/>
          <w:bCs/>
          <w:color w:val="1F4E79"/>
          <w:sz w:val="48"/>
          <w:szCs w:val="48"/>
        </w:rPr>
        <w:t xml:space="preserve">SAM ERP 대시보드</w:t>
      </w:r>
    </w:p>
    <w:p>
      <w:pPr>
        <w:spacing w:after="200"/>
        <w:jc w:val="center"/>
      </w:pPr>
      <w:r>
        <w:rPr>
          <w:rFonts w:ascii="맑은 고딕" w:cs="맑은 고딕" w:eastAsia="맑은 고딕" w:hAnsi="맑은 고딕"/>
          <w:color w:val="666666"/>
          <w:sz w:val="32"/>
          <w:szCs w:val="32"/>
        </w:rPr>
        <w:t xml:space="preserve">AI 리포트 핵심 키워드 색상 체계 가이드</w:t>
      </w:r>
    </w:p>
    <w:p>
      <w:pPr>
        <w:spacing w:after="400"/>
        <w:jc w:val="center"/>
      </w:pPr>
      <w:r>
        <w:rPr>
          <w:rFonts w:ascii="맑은 고딕" w:cs="맑은 고딕" w:eastAsia="맑은 고딕" w:hAnsi="맑은 고딕"/>
          <w:color w:val="888888"/>
          <w:sz w:val="24"/>
          <w:szCs w:val="24"/>
        </w:rPr>
        <w:t xml:space="preserve">(임계값 명확화 버전 v1.4)</w:t>
      </w:r>
    </w:p>
    <w:p>
      <w:pPr>
        <w:spacing w:after="400"/>
        <w:jc w:val="right"/>
      </w:pPr>
      <w:r>
        <w:rPr>
          <w:rFonts w:ascii="맑은 고딕" w:cs="맑은 고딕" w:eastAsia="맑은 고딕" w:hAnsi="맑은 고딕"/>
          <w:color w:val="888888"/>
          <w:sz w:val="18"/>
          <w:szCs w:val="18"/>
        </w:rPr>
        <w:t xml:space="preserve">버전: D1.4  |  작성일: 2026년 1월</w:t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1. AI 리포트 색상 체계 개요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AI 리포트는 각 섹션별 핵심 키워드에 색상을 적용하여 사용자가 즉시 상태를 파악할 수 있도록 합니다. 모든 기준은 명확한 수치로 정의되어 일관된 적용이 가능합니다.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1.1 색상 정의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200"/>
        <w:gridCol w:w="3800"/>
        <w:gridCol w:w="256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의미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적용 원칙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우선순위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경고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즉각 조치 필요, 한도/기준 초과, 손실 발생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1순위 (최우선)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주의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기준의 80~100% 도달, 기한 임박, 검토 필요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2순위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긍정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목표 달성, 정상 완료, 개선, 입금/회수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3순위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양호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안정적 유지, 정상 진행 중, 충분히 확보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4순위</w:t>
            </w:r>
          </w:p>
        </w:tc>
      </w:tr>
    </w:tbl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1.2 공통 임계값 원칙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000"/>
        <w:gridCol w:w="1800"/>
        <w:gridCol w:w="1800"/>
        <w:gridCol w:w="196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구분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🔴 경고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🟠 주의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🟢 긍정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🔵 양호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100%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85~100%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85% 미만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전월/전기 대비 증감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±20% 이상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±10~20%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개선 방향 변동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±10% 이내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100%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90~100%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90% 미만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연체 기간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90일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30~90일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회수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전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운영자금 확보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3개월 미만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3~6개월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6개월 이상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2. 일일 일보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일일 일보는 당일 자금 현황을 요약하여 보여주며, 현금 흐름에 대한 AI 분석 리포트가 함께 제공됩니다.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2.1 현금 자산 - 출금 분석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2500"/>
        <w:gridCol w:w="28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출금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200%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당일출금 ÷ 7일평균출금 ≥ 2.0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점검이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200%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출금 키워드와 함께 사용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출금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150~200%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당일출금 ÷ 7일평균출금 1.5~2.0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정상 출금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150% 미만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당일출금 ÷ 7일평균출금 &lt; 1.5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어제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3.5억원 출금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최근 7일 평균(1.7억원) 대비 206%로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점검이 필요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2.2 현금 자산 - 입금 분석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2500"/>
        <w:gridCol w:w="28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입금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입금 발생 시 (금액 무관)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당일 입금 &gt; 0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대규모 입금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월평균 입금의 200%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당일입금 ÷ 월평균입금 ≥ 2.0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주요 원인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입금 원인 설명 시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입금 키워드와 함께 사용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어제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10.2억원이 입금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되었습니다. 대한건설 선수금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입금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주요 원인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입니다.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2.3 현금 자산 - 운영자금 안정성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2500"/>
        <w:gridCol w:w="28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자금 부족 우려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운영비용 대비 3개월 미만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현금자산 ÷ 월운영비 &lt; 3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자금 관리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운영비용 대비 3~6개월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현금자산 ÷ 월운영비 3~6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확보되어 안정적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운영비용 대비 6개월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현금자산 ÷ 월운영비 ≥ 6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총 현금성 자산이 300.2억원입니다. 월 운영비용(16.7억원) 대비 </w:t>
      </w:r>
      <w:r>
        <w:rPr>
          <w:rFonts w:ascii="맑은 고딕" w:cs="맑은 고딕" w:eastAsia="맑은 고딕" w:hAnsi="맑은 고딕"/>
          <w:b/>
          <w:bCs/>
          <w:color w:val="0066CC"/>
          <w:sz w:val="20"/>
          <w:szCs w:val="20"/>
        </w:rPr>
        <w:t xml:space="preserve">18개월 분이 확보되어 안정적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입니다.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2.4 외화 현황 - 환율 변동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2700"/>
        <w:gridCol w:w="26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 (일일)</w:t>
            </w:r>
          </w:p>
        </w:tc>
        <w:tc>
          <w:tcPr>
            <w:tcW w:type="dxa" w:w="2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 (주간)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환율 급등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전일 대비 ±1.5% 이상 또는 ±20원 이상</w:t>
            </w:r>
          </w:p>
        </w:tc>
        <w:tc>
          <w:tcPr>
            <w:tcW w:type="dxa" w:w="2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전주 대비 ±3% 이상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환율 급락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전일 대비 ±1.5% 이상 또는 ±20원 이상</w:t>
            </w:r>
          </w:p>
        </w:tc>
        <w:tc>
          <w:tcPr>
            <w:tcW w:type="dxa" w:w="2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전주 대비 ±3% 이상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환율 변동 주의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전일 대비 ±1.0~1.5% 또는 ±10~20원</w:t>
            </w:r>
          </w:p>
        </w:tc>
        <w:tc>
          <w:tcPr>
            <w:tcW w:type="dxa" w:w="2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전주 대비 ±2~3%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환율 안정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전일 대비 ±1.0% 미만 또는 ±10원 미만</w:t>
            </w:r>
          </w:p>
        </w:tc>
        <w:tc>
          <w:tcPr>
            <w:tcW w:type="dxa" w:w="2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전주 대비 ±2% 미만</w:t>
            </w:r>
          </w:p>
        </w:tc>
      </w:tr>
    </w:tbl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2.5 외화 현황 - 환차손익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2500"/>
        <w:gridCol w:w="28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 (금액)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 (비율)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환차손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평가손실 1,000만원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외화보유액 대비 2% 이상 손실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환리스크 주의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평가손실 500~1,000만원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외화보유액 대비 1~2% 손실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환차익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평가이익 500만원 이상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외화보유액 대비 1% 이상 이익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환율 영향 미미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평가손익 ±500만원 미만</w:t>
            </w:r>
          </w:p>
        </w:tc>
        <w:tc>
          <w:tcPr>
            <w:tcW w:type="dxa" w:w="2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외화보유액 대비 ±1% 미만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전일 대비 환율이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1.8% 상승(+24원)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외화자산 평가손실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약 1,500만원 환차손 발생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 예상됩니다.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전일 대비 환율 변동 0.3%(+4원)으로 </w:t>
      </w:r>
      <w:r>
        <w:rPr>
          <w:rFonts w:ascii="맑은 고딕" w:cs="맑은 고딕" w:eastAsia="맑은 고딕" w:hAnsi="맑은 고딕"/>
          <w:b/>
          <w:bCs/>
          <w:color w:val="0066CC"/>
          <w:sz w:val="20"/>
          <w:szCs w:val="20"/>
        </w:rPr>
        <w:t xml:space="preserve">환율 안정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적인 상태입니다. </w:t>
      </w:r>
      <w:r>
        <w:rPr>
          <w:rFonts w:ascii="맑은 고딕" w:cs="맑은 고딕" w:eastAsia="맑은 고딕" w:hAnsi="맑은 고딕"/>
          <w:b/>
          <w:bCs/>
          <w:color w:val="0066CC"/>
          <w:sz w:val="20"/>
          <w:szCs w:val="20"/>
        </w:rPr>
        <w:t xml:space="preserve">환율 영향 미미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3. 당월 예상 지출 내역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당월 예상되는 지출 항목(매입, 카드, 발행어음 등)을 분석하여 전월 대비 및 예산 대비 현황을 제공합니다.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3.1 전월 대비 분석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800"/>
        <w:gridCol w:w="2500"/>
        <w:gridCol w:w="25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전월 대비 N%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15% 이상 증가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(당월-전월) ÷ 전월 ≥ 0.15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지출 증가 추이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10~15% 증가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(당월-전월) ÷ 전월 0.10~0.15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전월 대비 N% 감소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5% 이상 감소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(당월-전월) ÷ 전월 ≤ -0.05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전월과 유사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±10% 이내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|(당월-전월) ÷ 전월| &lt; 0.10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이번 달 예상 지출이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전월 대비 15% 증가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매입 비용 증가가 주요 원인입니다.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이번 달 예상 지출이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전월 대비 8% 감소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외주비용 절감이 주요 원인입니다.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3.2 예산 대비 분석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800"/>
        <w:gridCol w:w="2500"/>
        <w:gridCol w:w="25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예산을 N%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100% 초과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예상지출 ÷ 예산 &gt; 1.0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예산 임박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90~100%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예상지출 ÷ 예산 0.9~1.0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예산 내 운영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90% 미만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예상지출 ÷ 예산 &lt; 0.9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이번 달 예상 지출이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예산을 12% 초과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비용 항목별 점검이 필요합니다.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이번 달 예상 지출이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예산 내 운영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중입니다. (예산 대비 82%)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3.3 항목별 지출 분석 기준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200"/>
        <w:gridCol w:w="2000"/>
        <w:gridCol w:w="1800"/>
        <w:gridCol w:w="1860"/>
      </w:tblGrid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지출 항목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🔴 경고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🟠 주의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🟢 긍정</w:t>
            </w:r>
          </w:p>
        </w:tc>
        <w:tc>
          <w:tcPr>
            <w:tcW w:type="dxa" w:w="1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🔵 양호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매입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20% 이상 증가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10~20%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전월 대비 감소</w:t>
            </w:r>
          </w:p>
        </w:tc>
        <w:tc>
          <w:tcPr>
            <w:tcW w:type="dxa" w:w="1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±10% 이내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카드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100% 초과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80~100% 사용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80% 미만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발행어음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초과 또는 부도 위험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D-7일 이내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결제 완료</w:t>
            </w:r>
          </w:p>
        </w:tc>
        <w:tc>
          <w:tcPr>
            <w:tcW w:type="dxa" w:w="1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D-8일 이상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인건비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100% 초과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90~100%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예산 대비 90% 미만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4. 카드/가지급금 관리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법인카드 사용 현황과 가지급금 발생 현황을 분석하여 세무 리스크를 사전에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4.1 가지급금 전환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500"/>
        <w:gridCol w:w="22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세무 영향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가지급금으로 전환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미정리 법인카드 사용 100만원 이상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인정이자 4.6% 발생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인정이자가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가지급금 잔액 × 4.6%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법인세 증가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연간 N만원의 인정이자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연간 인정이자 100만원 이상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가지급금 × 4.6%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가지급금 정리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미정리 법인카드 사용 50~100만원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정리 권고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법인카드 사용 중 850만원이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가지급금으로 전환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되었습니다.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연 4.6% 인정이자가 발생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현재 가지급금 3.5억 × 4.6% =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연간 약 1,610만원의 인정이자가 발생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중입니다.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4.2 업무관련성 소명 필요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700"/>
        <w:gridCol w:w="20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발생 사유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불인정 가맹점 결제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유흥업소, 귀금속, 상품권 등 결제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가지급금 전환 대상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본인 청구 결제 감지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상품권, 귀금속, 면세점 등 1건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소명 자료 필요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주말 사용 감지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토/일요일 결제 50만원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업무관련성 검토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심야 사용 감지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22시~06시 결제 30만원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업무관련성 검토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해외 사용 감지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해외 결제 발생 시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출장 증빙 필요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상품권 구매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본인 청구 결제 감지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 가지급금 처리 예정입니다.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주말 사용 감지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- 토요일 120만원 결제. 업무관련성 소명이 어려울 수 있으니 기록을 남겨주세요.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4.3 법인세/종합소득세 예상 가중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1800"/>
        <w:gridCol w:w="2500"/>
        <w:gridCol w:w="2560"/>
      </w:tblGrid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법인세 예상 가중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추가 법인세 100만원 이상 예상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가지급금 인정이자 × 법인세율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대표자 종합소득세 예상 가중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추가 종합소득세 50만원 이상 예상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인정상여 × 소득세율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세무 리스크 주의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추가 세금 50만원 미만 예상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정리 권고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가지급금으로 인한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법인세 예상 가중 약 320만원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 발생합니다.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대표자 종합소득세 예상 가중 약 180만원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 예상됩니다. (추가 사용 +10.5%)</w:t>
      </w:r>
    </w:p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5. 접대비 현황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접대비 사용 현황과 한도 대비 사용률을 분석하여 세법상 한도 초과 여부를 사전에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5.1 한도 사용률 기준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500"/>
        <w:gridCol w:w="22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한도 초과 N만원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 100% 초과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사용액 &gt; 한도액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손금 불산입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초과액 발생 시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초과액 = 사용액 - 한도액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법인세 부담이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초과로 인한 법인세 증가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초과액 × 법인세율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잔여 한도 N원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 85~100%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잔여 = 한도액 - 사용액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사용 계획을 점검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 85% 이상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사용액 ÷ 한도액 ≥ 0.85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여유 있게 운영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 75% 미만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사용액 ÷ 한도액 &lt; 0.75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정상 운영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사용률 75~85%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사용액 ÷ 한도액 0.75~0.85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세법상 접대비 한도 계산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기본한도: 중소기업 3,600만원, 일반기업 2,400만원 (연간)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추가한도: 수입금액 × 적용률 (100억 이하 0.3%, 100~500억 0.2%, 500억 초과 0.03%)</w:t>
      </w:r>
    </w:p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(1분기) 접대비 사용 1,000만원 / 한도 4,012만원 (25%).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여유 있게 운영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중입니다.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접대비 한도 85% 도달.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잔여 한도 600만원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입니다.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사용 계획을 점검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해 주세요.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접대비 한도 초과 320만원 발생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 초과분은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손금 불산입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되어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법인세 부담이 증가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5.2 증빙 관리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3000"/>
        <w:gridCol w:w="17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필수 정보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거래처 정보가 누락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거래처명 또는 참석자 미입력 1건 이상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거래처명, 참석자, 목적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증빙 누락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영수증 또는 카드전표 미첨부 1건 이상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적격증빙 필수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기록 보완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상세 내용 미기재 (목적, 장소 등)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상세 기록 권고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증빙 완비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모든 필수 정보 입력 완료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접대비 사용 중 3건(45만원)의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거래처 정보가 누락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되었습니다.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기록 보완 필요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6. 복리후생비 현황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복리후생비 사용 현황을 분석하여 비과세 한도 초과 여부와 업계 평균 대비 적정성을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6.1 1인당 복리후생비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500"/>
        <w:gridCol w:w="22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업계 평균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과다 지출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30만원 초과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업계 평균의 150% 초과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지출 증가 추이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25~30만원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업계 평균의 120~150%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업계 평균 내 정상 운영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15~25만원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업계 평균 범위 내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적정 운영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15만원 미만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업계 평균 미만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1인당 월 복리후생비 20만원.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업계 평균(15~25만원) 내 정상 운영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중입니다.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6.2 항목별 비과세 한도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000"/>
        <w:gridCol w:w="3000"/>
        <w:gridCol w:w="2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항목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비과세 한도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🔴 경고 기준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🟢 정상 기준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식대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20만원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초과 시 초과분 과세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이하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자가운전보조금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20만원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초과 시 초과분 과세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이하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출산/보육수당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20만원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초과 시 초과분 과세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이하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연구보조비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월 20만원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초과 시 초과분 과세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20만원 이하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야근식대/숙직비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실비 정산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과다 지급 시 과세 위험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실비 범위 내</w:t>
            </w:r>
          </w:p>
        </w:tc>
      </w:tr>
    </w:tbl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6.3 비과세 초과 시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500"/>
        <w:gridCol w:w="22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세무 처리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비과세 한도를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항목별 비과세 한도 초과 시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초과분 근로소득 과세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근로소득 과세됩니다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비과세 초과분 발생 시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원천세 추가 징수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초과분 N만원 과세 처리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과세 금액 명시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급여에 합산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한도 임박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비과세 한도의 90% 이상 사용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사용 주의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식대가 월 25만원으로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비과세 한도(20만원)를 초과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했습니다.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초과분 5만원 근로소득 과세됩니다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</w:t>
      </w:r>
    </w:p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7. 미수금 현황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미수금 현황을 분석하여 연체 상태, 회수 필요성, 리스크 집중도를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7.1 연체 기간별 분류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200"/>
        <w:gridCol w:w="2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연체 기간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조치 수준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장기 미수금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90일 초과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법적 조치 검토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회수 조치가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60~90일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적극적 독촉/추심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연체 발생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30~60일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독촉장 발송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연체 임박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D-7일 ~ 만기 후 30일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사전 연락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정상 거래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전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관리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회수 완료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전액 회수 시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완료 처리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90일 이상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장기 미수금 3건(2,500만원) 발생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회수 조치가 필요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7.2 리스크 집중도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700"/>
        <w:gridCol w:w="20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계산 방식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전체의 N%를 차지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상위 1개사 미수금 비중 30%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거래처 미수금 ÷ 총 미수금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리스크 분산이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상위 1개사 비중 30%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집중 리스크 경고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리스크 관리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상위 3개사 비중 50%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분산 권고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리스크 분산 양호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상위 1개사 비중 20% 미만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분산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리스크 관리 양호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상위 3개사 비중 40% 미만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양호한 분산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(주)대한전자 미수금 1,500만원으로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전체의 35%를 차지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리스크 분산이 필요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상위 3개사 미수금 비중 38%. </w:t>
      </w:r>
      <w:r>
        <w:rPr>
          <w:rFonts w:ascii="맑은 고딕" w:cs="맑은 고딕" w:eastAsia="맑은 고딕" w:hAnsi="맑은 고딕"/>
          <w:b/>
          <w:bCs/>
          <w:color w:val="0066CC"/>
          <w:sz w:val="20"/>
          <w:szCs w:val="20"/>
        </w:rPr>
        <w:t xml:space="preserve">리스크 관리 양호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7.3 미수금 금액 기준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800"/>
        <w:gridCol w:w="2700"/>
        <w:gridCol w:w="23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비고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대형 미수금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단일 건 3,000만원 이상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집중 관리 대상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주요 미수금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단일 건 1,000~3,000만원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관리 주의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일반 미수금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단일 건 1,000만원 미만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관리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8. 채권추심 현황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채권추심 진행 현황을 분석하여 법적 조치 상태와 회수 가능성을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8.1 추심 진행 상태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3000"/>
        <w:gridCol w:w="17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다음 단계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회수 불가 판정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채무자 무자력 확인 또는 소멸시효 완성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대손 처리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파산/회생 신청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채무자 파산/회생 신청 확인 시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채권 신고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대손 처리 검토가 필요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회수 가능성 30% 미만 판단 시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세무 검토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법적 조치 진행 중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소송/강제집행 진행 중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결과 대기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지급명령 신청 완료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지급명령 신청 접수 완료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법원 결정 대기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회수 완료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채권 전액 또는 일부 회수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종결 처리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(주)대한전자 건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지급명령 신청 완료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 법원 결정까지 약 2주 소요 예정입니다.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(주)삼성테크 건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회수 불가 판정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.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대손 처리 검토가 필요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8.2 예상 소요 기간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800"/>
        <w:gridCol w:w="2700"/>
        <w:gridCol w:w="236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비고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장기 소송 예상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소요 기간 6개월 이상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비용/효익 검토 필요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소송 진행 중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소요 기간 3~6개월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진행 상황 모니터링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법원 결정까지 약 N주 소요 예정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소요 기간 3개월 미만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진행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조기 회수 예상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소요 기간 1개월 미만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신속 처리</w:t>
            </w:r>
          </w:p>
        </w:tc>
      </w:tr>
    </w:tbl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8.3 회수율 기준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800"/>
        <w:gridCol w:w="2500"/>
        <w:gridCol w:w="25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판단 기준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회수 불가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회수율 10% 미만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대손 처리 대상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회수 곤란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회수율 10~30%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적극 추심 필요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부분 회수 예상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회수율 30~70%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협상 검토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회수 가능성 높음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회수율 70% 이상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추심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전액 회수 예상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예상 회수율 90% 이상</w:t>
            </w:r>
          </w:p>
        </w:tc>
        <w:tc>
          <w:tcPr>
            <w:tcW w:type="dxa" w:w="2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양호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9. 부가세 현황 섹션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부가세 예정/확정 신고 현황을 분석하여 납부/환급 예상액과 세금계산서 발행 현황을 안내합니다.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9.1 납부/환급 세액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800"/>
        <w:gridCol w:w="3000"/>
        <w:gridCol w:w="156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판단 근거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납부세액 급증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30% 이상 증가 (매출 증가율 대비 초과)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비정상 증가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매입세액 누락 의심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매입세액 ÷ 매출세액 &lt; 업종 평균의 70%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누락 가능성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납부세액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15~30% 증가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검토 필요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예상 환급세액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매입세액 &gt; 매출세액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환급 발생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매입세액 증가가 주요 원인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설비투자 등 정당한 매입 증가 시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사유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정상적인 증가로 판단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매출 증가율과 납부세액 증가율 유사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범위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66CC"/>
                <w:sz w:val="20"/>
                <w:szCs w:val="20"/>
              </w:rPr>
              <w:t xml:space="preserve">전기 대비 N%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66CC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파란색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15% 미만 증가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변동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2026년 1기 예정신고 기준,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예상 환급세액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은 5,200,000원입니다. 설비투자에 따른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매입세액 증가가 주요 원인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입니다.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예상 납부세액 110,100,000원. </w:t>
      </w:r>
      <w:r>
        <w:rPr>
          <w:rFonts w:ascii="맑은 고딕" w:cs="맑은 고딕" w:eastAsia="맑은 고딕" w:hAnsi="맑은 고딕"/>
          <w:b/>
          <w:bCs/>
          <w:color w:val="0066CC"/>
          <w:sz w:val="20"/>
          <w:szCs w:val="20"/>
        </w:rPr>
        <w:t xml:space="preserve">전기 대비 12.9% 증가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했으며, 매출 증가(11.5%)에 따른 </w:t>
      </w:r>
      <w:r>
        <w:rPr>
          <w:rFonts w:ascii="맑은 고딕" w:cs="맑은 고딕" w:eastAsia="맑은 고딕" w:hAnsi="맑은 고딕"/>
          <w:b/>
          <w:bCs/>
          <w:color w:val="00AA00"/>
          <w:sz w:val="20"/>
          <w:szCs w:val="20"/>
        </w:rPr>
        <w:t xml:space="preserve">정상적인 증가로 판단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됩니다.</w:t>
      </w:r>
    </w:p>
    <w:p>
      <w:pPr>
        <w:pStyle w:val="Heading2"/>
      </w:pPr>
      <w:r>
        <w:rPr>
          <w:rFonts w:ascii="맑은 고딕" w:cs="맑은 고딕" w:eastAsia="맑은 고딕" w:hAnsi="맑은 고딕"/>
          <w:b/>
          <w:bCs/>
        </w:rPr>
        <w:t xml:space="preserve">9.2 세금계산서 발행 관리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800"/>
        <w:gridCol w:w="2700"/>
        <w:gridCol w:w="20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키워드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색상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임계값 기준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가산세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세금계산서 미발행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발행 기한 경과 후 미발행 1건 이상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공급가액의 2%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발행 기한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공급일 다음 달 10일 경과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지연 발급 1%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0000"/>
                <w:sz w:val="20"/>
                <w:szCs w:val="20"/>
              </w:rPr>
              <w:t xml:space="preserve">가산세 발생 위험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00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빨간색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미발행 또는 지연 발행 시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최대 2%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FF8C00"/>
                <w:sz w:val="20"/>
                <w:szCs w:val="20"/>
              </w:rPr>
              <w:t xml:space="preserve">발행 기한 임박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FF8C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주황색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발행 기한 D-3일 이내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발행 권고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/>
                <w:bCs/>
                <w:color w:val="00AA00"/>
                <w:sz w:val="20"/>
                <w:szCs w:val="20"/>
              </w:rPr>
              <w:t xml:space="preserve">정상 발행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b w:val="false"/>
                <w:bCs w:val="false"/>
                <w:color w:val="00AA00"/>
                <w:sz w:val="20"/>
                <w:szCs w:val="20"/>
              </w:rPr>
              <w:t xml:space="preserve">●</w:t>
            </w:r>
            <w:r>
              <w:rPr>
                <w:rFonts w:ascii="맑은 고딕" w:cs="맑은 고딕" w:eastAsia="맑은 고딕" w:hAnsi="맑은 고딕"/>
                <w:b w:val="false"/>
                <w:bCs w:val="false"/>
                <w:sz w:val="20"/>
                <w:szCs w:val="20"/>
              </w:rPr>
              <w:t xml:space="preserve"> 녹색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공급일 다음 달 10일 이내 발행</w:t>
            </w:r>
          </w:p>
        </w:tc>
        <w:tc>
          <w:tcPr>
            <w:tcW w:type="dxa" w:w="2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</w:t>
            </w:r>
          </w:p>
        </w:tc>
      </w:tr>
    </w:tbl>
    <w:p>
      <w:pPr>
        <w:pStyle w:val="Heading3"/>
        <w:spacing w:before="200"/>
      </w:pPr>
      <w:r>
        <w:rPr>
          <w:rFonts w:ascii="맑은 고딕" w:cs="맑은 고딕" w:eastAsia="맑은 고딕" w:hAnsi="맑은 고딕"/>
          <w:b/>
          <w:bCs/>
          <w:sz w:val="20"/>
          <w:szCs w:val="20"/>
        </w:rPr>
        <w:t xml:space="preserve">적용 예시</w:t>
      </w:r>
    </w:p>
    <w:p>
      <w:pPr>
        <w:pStyle w:val="ListParagraph"/>
        <w:numPr>
          <w:ilvl w:val="0"/>
          <w:numId w:val="2"/>
        </w:numPr>
        <w:spacing/>
      </w:pP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세금계산서 미발행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3건 발생. </w:t>
      </w:r>
      <w:r>
        <w:rPr>
          <w:rFonts w:ascii="맑은 고딕" w:cs="맑은 고딕" w:eastAsia="맑은 고딕" w:hAnsi="맑은 고딕"/>
          <w:b/>
          <w:bCs/>
          <w:color w:val="FF0000"/>
          <w:sz w:val="20"/>
          <w:szCs w:val="20"/>
        </w:rPr>
        <w:t xml:space="preserve">가산세 발생 위험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이 있습니다. 공급가액 1,500만원 × 2% = 30만원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12월 매출분 세금계산서 </w:t>
      </w:r>
      <w:r>
        <w:rPr>
          <w:rFonts w:ascii="맑은 고딕" w:cs="맑은 고딕" w:eastAsia="맑은 고딕" w:hAnsi="맑은 고딕"/>
          <w:b/>
          <w:bCs/>
          <w:color w:val="FF8C00"/>
          <w:sz w:val="20"/>
          <w:szCs w:val="20"/>
        </w:rPr>
        <w:t xml:space="preserve">발행 기한 임박</w:t>
      </w: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 (D-2일). 1월 10일까지 발행 필요합니다.</w:t>
      </w:r>
    </w:p>
    <w:p>
      <w:r>
        <w:br w:type="page"/>
      </w:r>
    </w:p>
    <w:p>
      <w:pPr>
        <w:pStyle w:val="Heading1"/>
      </w:pPr>
      <w:r>
        <w:rPr>
          <w:rFonts w:ascii="맑은 고딕" w:cs="맑은 고딕" w:eastAsia="맑은 고딕" w:hAnsi="맑은 고딕"/>
          <w:b/>
          <w:bCs/>
        </w:rPr>
        <w:t xml:space="preserve">10. 종합 색상 적용 기준 매트릭스</w:t>
      </w:r>
    </w:p>
    <w:p>
      <w:pPr>
        <w:spacing w:after="20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모든 AI 리포트 섹션에 대한 색상 적용 기준을 요약한 종합 매트릭스입니다.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100"/>
        <w:gridCol w:w="1800"/>
        <w:gridCol w:w="1700"/>
        <w:gridCol w:w="17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섹션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🔴 경고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🟠 주의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🟢 긍정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09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color w:val="FFFFFF"/>
                <w:sz w:val="20"/>
                <w:szCs w:val="20"/>
              </w:rPr>
              <w:t xml:space="preserve">🔵 양호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일일 일보 (출금)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200% 이상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150~200%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7일 평균 대비 150%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일일 일보 (입금)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입금 발생 시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일일 일보 (운영자금)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3개월 미만 확보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3~6개월 확보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6개월 이상 확보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일일 일보 (환율)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 ±1.5% 이상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 ±1.0~1.5%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환차익 발생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 ±1.0%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일일 일보 (환차손익)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손실 1,000만원 이상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손실 500~1,000만원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이익 500만원 이상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±500만원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당월 지출 (전월 대비)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15% 이상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10~15% 증가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5% 이상 감소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±10% 이내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당월 지출 (예산 대비)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100%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90~100%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90%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카드/가지급금 (전환)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100만원 이상 전환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50~100만원 전환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카드/가지급금 (소명)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불인정 가맹점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주말/심야 50만원 이상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접대비 (한도)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100%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85~100%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75% 미만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75~85%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접대비 (증빙)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거래처 정보 누락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상세 내용 미기재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증빙 완비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복리후생비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30만원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25~30만원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15~25만원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1인당 월 15만원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복리후생비 (비과세)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초과 시 과세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90% 이상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한도 이하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미수금 (연체)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90일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30~90일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회수 완료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만기 전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미수금 (집중도)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1개사 30% 이상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3개사 50% 이상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1개사 20% 미만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3개사 40%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채권추심 (상태)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회수 불가, 파산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대손 검토 필요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지급명령 완료, 회수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법적 조치 진행 중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채권추심 (회수율)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10% 미만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10~30%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70% 이상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30~70%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부가세 (납부세액)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30% 이상 증가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15~30% 증가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환급 발생, 정상 증가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전기 대비 15% 미만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부가세 (세금계산서)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미발행/기한 초과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기한 D-3일 이내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정상 발행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-</w:t>
            </w:r>
          </w:p>
        </w:tc>
      </w:tr>
    </w:tbl>
    <w:p>
      <w:pPr>
        <w:spacing w:before="400"/>
        <w:jc w:val="center"/>
      </w:pPr>
      <w:r>
        <w:rPr>
          <w:rFonts w:ascii="맑은 고딕" w:cs="맑은 고딕" w:eastAsia="맑은 고딕" w:hAnsi="맑은 고딕"/>
          <w:i/>
          <w:iCs/>
          <w:color w:val="888888"/>
          <w:sz w:val="18"/>
          <w:szCs w:val="18"/>
        </w:rPr>
        <w:t xml:space="preserve">— 문서 끝 —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cs="맑은 고딕" w:eastAsia="맑은 고딕" w:hAnsi="맑은 고딕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맑은 고딕" w:cs="맑은 고딕" w:eastAsia="맑은 고딕" w:hAnsi="맑은 고딕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맑은 고딕" w:cs="맑은 고딕" w:eastAsia="맑은 고딕" w:hAnsi="맑은 고딕"/>
      <w:b/>
      <w:bCs/>
      <w:color w:val="2E5090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맑은 고딕" w:cs="맑은 고딕" w:eastAsia="맑은 고딕" w:hAnsi="맑은 고딕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2026-01-20T07:40:20.854Z</dcterms:created>
  <dcterms:modified xsi:type="dcterms:W3CDTF">2026-01-20T07:40:20.855Z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